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  <w:lang w:val="en-US" w:eastAsia="zh-CN"/>
        </w:rPr>
        <w:t>梅州市粤禹环保科技有限公司工业废水处理及技术服务</w:t>
      </w: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项目环境影响评价第一次信息公示</w:t>
      </w:r>
    </w:p>
    <w:p>
      <w:pPr>
        <w:widowControl/>
        <w:spacing w:line="360" w:lineRule="auto"/>
        <w:ind w:firstLine="480" w:firstLineChars="20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Calibri" w:hAnsi="Calibri" w:cs="Times New Roman"/>
          <w:color w:val="333333"/>
          <w:sz w:val="24"/>
          <w:szCs w:val="24"/>
          <w:shd w:val="clear" w:color="auto" w:fill="FFFFFF"/>
        </w:rPr>
        <w:t>根据《中华人民共和国环境影响评价法》、《环境影响评价公众参与办法</w:t>
      </w:r>
      <w:r>
        <w:rPr>
          <w:rFonts w:ascii="Calibri" w:hAnsi="Calibri" w:cs="Times New Roman"/>
          <w:color w:val="000000"/>
          <w:sz w:val="24"/>
          <w:szCs w:val="24"/>
          <w:shd w:val="clear" w:color="auto" w:fill="FFFFFF"/>
        </w:rPr>
        <w:t>》</w:t>
      </w:r>
      <w:r>
        <w:rPr>
          <w:rFonts w:ascii="Calibri" w:hAnsi="Calibri" w:cs="Times New Roman"/>
          <w:color w:val="333333"/>
          <w:sz w:val="24"/>
          <w:szCs w:val="24"/>
          <w:shd w:val="clear" w:color="auto" w:fill="FFFFFF"/>
        </w:rPr>
        <w:t>（部令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Calibri" w:hAnsi="Calibri" w:cs="Times New Roman"/>
          <w:color w:val="333333"/>
          <w:sz w:val="24"/>
          <w:szCs w:val="24"/>
          <w:shd w:val="clear" w:color="auto" w:fill="FFFFFF"/>
        </w:rPr>
        <w:t>第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>
        <w:rPr>
          <w:rFonts w:ascii="Calibri" w:hAnsi="Calibri" w:cs="Times New Roman"/>
          <w:color w:val="333333"/>
          <w:sz w:val="24"/>
          <w:szCs w:val="24"/>
          <w:shd w:val="clear" w:color="auto" w:fill="FFFFFF"/>
        </w:rPr>
        <w:t>号）和《环境保护公众参与办法》（部令第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35</w:t>
      </w:r>
      <w:r>
        <w:rPr>
          <w:rFonts w:ascii="Calibri" w:hAnsi="Calibri" w:cs="Times New Roman"/>
          <w:color w:val="333333"/>
          <w:sz w:val="24"/>
          <w:szCs w:val="24"/>
          <w:shd w:val="clear" w:color="auto" w:fill="FFFFFF"/>
        </w:rPr>
        <w:t>号），建设项目在进行环境影响评价期间应征求公众意见。现将有关事宜公示如下：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宋体" w:cs="Times New Roman"/>
          <w:b/>
          <w:bCs/>
          <w:color w:val="000000"/>
          <w:kern w:val="0"/>
          <w:sz w:val="24"/>
          <w:szCs w:val="24"/>
        </w:rPr>
        <w:t>一、项目概况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Times New Roman" w:hAnsi="宋体" w:eastAsia="宋体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</w:rPr>
        <w:t>项目名称：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梅州市粤禹环保科技有限公司工业废水处理及技术服务项目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Times New Roman" w:hAnsi="宋体" w:eastAsia="宋体" w:cs="Times New Roman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</w:rPr>
        <w:t>建设单</w:t>
      </w: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位：</w:t>
      </w:r>
      <w:r>
        <w:rPr>
          <w:rFonts w:hint="eastAsia" w:ascii="Calibri" w:hAnsi="Calibri" w:cs="Times New Roman"/>
          <w:color w:val="auto"/>
          <w:sz w:val="24"/>
          <w:szCs w:val="22"/>
          <w:lang w:eastAsia="zh-CN"/>
        </w:rPr>
        <w:t>梅州市粤禹环保科技有限公司</w:t>
      </w:r>
    </w:p>
    <w:p>
      <w:pPr>
        <w:widowControl/>
        <w:adjustRightInd w:val="0"/>
        <w:snapToGrid w:val="0"/>
        <w:spacing w:before="68" w:after="68" w:line="360" w:lineRule="auto"/>
        <w:ind w:left="1680" w:leftChars="200" w:hanging="1200" w:hangingChars="500"/>
        <w:jc w:val="left"/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建设地点：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梅州市梅江区西阳镇东升工业园</w:t>
      </w:r>
      <w:r>
        <w:rPr>
          <w:rFonts w:hint="default" w:ascii="Times New Roman" w:hAnsi="Times New Roman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（坐标：N:24°16′16.72″  E:116°11′51.47″）</w:t>
      </w:r>
      <w:r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</w:rPr>
        <w:t>。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</w:rPr>
        <w:t>项目概要：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建设一个处理能力为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2000m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highlight w:val="none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/d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工业废水的污水处理站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，并配套相应的公用工程及辅助工程</w:t>
      </w: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。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项目投资：</w:t>
      </w:r>
      <w:r>
        <w:rPr>
          <w:rFonts w:hint="eastAsia" w:cs="Times New Roman"/>
          <w:color w:val="000000"/>
          <w:kern w:val="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highlight w:val="none"/>
          <w:lang w:val="en-US" w:eastAsia="zh-CN"/>
        </w:rPr>
        <w:t>00</w:t>
      </w: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万元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宋体" w:cs="Times New Roman"/>
          <w:b/>
          <w:bCs/>
          <w:color w:val="000000"/>
          <w:kern w:val="0"/>
          <w:sz w:val="24"/>
          <w:szCs w:val="24"/>
          <w:highlight w:val="none"/>
        </w:rPr>
        <w:t>二、建设单位单位及联系方式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单位名称：</w:t>
      </w:r>
      <w:r>
        <w:rPr>
          <w:rFonts w:hint="eastAsia" w:ascii="Calibri" w:hAnsi="Calibri" w:cs="Times New Roman"/>
          <w:color w:val="auto"/>
          <w:sz w:val="24"/>
          <w:szCs w:val="22"/>
          <w:lang w:eastAsia="zh-CN"/>
        </w:rPr>
        <w:t>梅州市粤禹环保科技有限公司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Calibri" w:hAnsi="Calibri" w:cs="Times New Roman"/>
          <w:b w:val="0"/>
          <w:bCs w:val="0"/>
          <w:sz w:val="24"/>
          <w:szCs w:val="24"/>
          <w:lang w:val="en-US"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单位地址：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梅州市梅江区西阳镇东升工业园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单位联系人：</w:t>
      </w:r>
      <w:r>
        <w:rPr>
          <w:rFonts w:hint="eastAsia" w:hAnsi="宋体" w:cs="Times New Roman"/>
          <w:color w:val="000000"/>
          <w:kern w:val="0"/>
          <w:sz w:val="24"/>
          <w:szCs w:val="24"/>
          <w:highlight w:val="none"/>
          <w:lang w:val="en-US" w:eastAsia="zh-CN"/>
        </w:rPr>
        <w:t>谢志城</w:t>
      </w:r>
      <w:r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  <w:lang w:eastAsia="zh-CN"/>
        </w:rPr>
        <w:t>；</w:t>
      </w:r>
      <w:bookmarkStart w:id="0" w:name="_GoBack"/>
      <w:bookmarkEnd w:id="0"/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</w:rPr>
        <w:t>联系方式：</w:t>
      </w:r>
      <w:r>
        <w:rPr>
          <w:rFonts w:hint="eastAsia" w:hAnsi="宋体" w:cs="Times New Roman"/>
          <w:color w:val="000000"/>
          <w:kern w:val="0"/>
          <w:sz w:val="24"/>
          <w:szCs w:val="24"/>
          <w:highlight w:val="none"/>
          <w:lang w:val="en-US" w:eastAsia="zh-CN"/>
        </w:rPr>
        <w:t>15766347707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  <w:lang w:val="en-US" w:eastAsia="zh-CN"/>
        </w:rPr>
        <w:t>三</w:t>
      </w: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、环境影响评价的工作程序和主要工作内容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评价的主要工作程序：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接受委托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工程分析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确定评价等级、范围和内容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环境现状质量调查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环境影响评价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编写报告书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环保主管部门审查，其中公众参与将贯穿其中。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主要的工作内容有：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工程污染源分析、环境质量现状调查、环境影响预测及评价、环保措施、公众参与等。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  <w:lang w:val="en-US" w:eastAsia="zh-CN"/>
        </w:rPr>
        <w:t>四</w:t>
      </w: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、征求公众意见的主要事项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（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1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）征求公众意见的范围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本项目征求公众意见的范围包括：项目周边现有居民及单位、团体；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梅州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市相关领域专家；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梅州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市关心本项目的单位、团体及各界人士。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（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2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）征求意见的主要措施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a.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目前本建设项目周围原有的环境情况如何？主要存在的问题是什么？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b.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从环境角度考虑，是否同意本项目的建设？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c.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对本项目的环境保护工作有何建议？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d.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其它建议？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要求署名提交书面意见，并留联系电话与通讯地址，以便建设单位与评价单位反馈意见，必要时会通知举行论证会、听证会，或者采取其他形式，征求有关单位、专家和公众对环境影响报告书初稿的意见。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  <w:lang w:val="en-US" w:eastAsia="zh-CN"/>
        </w:rPr>
        <w:t>五</w:t>
      </w: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、公众提出意见的主要方式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可通过电话、信函或邮件等方式与建设单位或环境影响评价机构联系，提交书面意见或口头意见等。本次征求意见时间为自本公告发布之日起十个工作日内。</w:t>
      </w:r>
    </w:p>
    <w:p>
      <w:pPr>
        <w:widowControl/>
        <w:adjustRightInd w:val="0"/>
        <w:snapToGrid w:val="0"/>
        <w:spacing w:before="68" w:after="68" w:line="360" w:lineRule="auto"/>
        <w:ind w:firstLine="4252" w:firstLineChars="1772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right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</w:rPr>
        <w:t>公示发布单位：</w:t>
      </w:r>
      <w:r>
        <w:rPr>
          <w:rFonts w:hint="eastAsia" w:ascii="Calibri" w:hAnsi="Calibri" w:cs="Times New Roman"/>
          <w:color w:val="auto"/>
          <w:sz w:val="24"/>
          <w:szCs w:val="22"/>
          <w:lang w:eastAsia="zh-CN"/>
        </w:rPr>
        <w:t>梅州市粤禹环保科技有限公司</w:t>
      </w:r>
    </w:p>
    <w:p>
      <w:pPr>
        <w:jc w:val="right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</w:t>
      </w:r>
      <w:r>
        <w:rPr>
          <w:rFonts w:hint="eastAsia" w:cs="Times New Roman"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ascii="Times New Roman" w:hAnsi="宋体" w:cs="Times New Roman"/>
          <w:color w:val="000000"/>
          <w:kern w:val="0"/>
          <w:sz w:val="24"/>
          <w:szCs w:val="24"/>
        </w:rPr>
        <w:t>年</w:t>
      </w:r>
      <w:r>
        <w:rPr>
          <w:rFonts w:hint="eastAsia" w:hAnsi="宋体" w:cs="Times New Roman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Times New Roman" w:hAnsi="宋体" w:cs="Times New Roman"/>
          <w:color w:val="000000"/>
          <w:kern w:val="0"/>
          <w:sz w:val="24"/>
          <w:szCs w:val="24"/>
        </w:rPr>
        <w:t>月</w:t>
      </w:r>
      <w:r>
        <w:rPr>
          <w:rFonts w:hint="eastAsia" w:hAnsi="宋体" w:cs="Times New Roman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ascii="Times New Roman" w:hAnsi="宋体" w:cs="Times New Roman"/>
          <w:color w:val="000000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D3E77"/>
    <w:rsid w:val="0C245659"/>
    <w:rsid w:val="194B0448"/>
    <w:rsid w:val="1C0C5E10"/>
    <w:rsid w:val="26540CBE"/>
    <w:rsid w:val="368D3E77"/>
    <w:rsid w:val="39097B4A"/>
    <w:rsid w:val="3A391516"/>
    <w:rsid w:val="47690975"/>
    <w:rsid w:val="48A72A91"/>
    <w:rsid w:val="4AB259EB"/>
    <w:rsid w:val="521E5A6C"/>
    <w:rsid w:val="64115432"/>
    <w:rsid w:val="739D0A1B"/>
    <w:rsid w:val="7CA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2020-01-04T07:42:00Z</dcterms:created>
  <dc:creator>xzc</dc:creator>
  <cp:lastModifiedBy>xzc</cp:lastModifiedBy>
  <cp:lastPrinted>2020-03-11T03:44:00Z</cp:lastPrinted>
  <dcterms:modified xsi:type="dcterms:W3CDTF">2020-04-15T04:06:26Z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